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5F75C43" w:rsidR="004631E1" w:rsidRPr="004631E1" w:rsidRDefault="004631E1" w:rsidP="00305A08">
            <w:pPr>
              <w:pStyle w:val="RefTableHeader"/>
            </w:pPr>
            <w:r>
              <w:t>4812-A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5B39A9AA" w:rsidR="004B15BB" w:rsidRPr="00231808" w:rsidRDefault="00231808" w:rsidP="007E5C16">
      <w:pPr>
        <w:pStyle w:val="Heading1"/>
      </w:pPr>
      <w:r w:rsidRPr="00231808">
        <w:t>Specialty Guideline Management</w:t>
      </w:r>
      <w:r w:rsidR="008C54D9" w:rsidRPr="00BD1CC1">
        <w:br/>
      </w:r>
      <w:proofErr w:type="spellStart"/>
      <w:r w:rsidRPr="00231808">
        <w:t>Rylaze</w:t>
      </w:r>
      <w:proofErr w:type="spellEnd"/>
    </w:p>
    <w:p w14:paraId="78861C92" w14:textId="08013C9E" w:rsidR="00203468" w:rsidRPr="00BD1CC1" w:rsidRDefault="00C64534" w:rsidP="008E0F0D">
      <w:pPr>
        <w:pStyle w:val="Heading2"/>
      </w:pPr>
      <w:r w:rsidRPr="00BD1CC1">
        <w:t xml:space="preserve">Products Referenced by this </w:t>
      </w:r>
      <w:r w:rsidR="00501602" w:rsidRPr="00BD1CC1">
        <w:t>Document</w:t>
      </w:r>
    </w:p>
    <w:p w14:paraId="07868740" w14:textId="6973369B" w:rsidR="00725714" w:rsidRDefault="00D82D85" w:rsidP="0023180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C51964">
        <w:rPr>
          <w:rStyle w:val="ui-provider"/>
        </w:rPr>
        <w:t>Over-the-counter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4740"/>
        <w:gridCol w:w="6120"/>
      </w:tblGrid>
      <w:tr w:rsidR="005B4D7C" w:rsidRPr="00BD1CC1" w14:paraId="057AAA89" w14:textId="77777777" w:rsidTr="002B074B">
        <w:trPr>
          <w:cantSplit/>
          <w:trHeight w:val="288"/>
          <w:tblHeader/>
        </w:trPr>
        <w:tc>
          <w:tcPr>
            <w:tcW w:w="4740" w:type="dxa"/>
            <w:vAlign w:val="center"/>
          </w:tcPr>
          <w:p w14:paraId="6CBFE1BD" w14:textId="77777777" w:rsidR="005B4D7C" w:rsidRPr="00BD1CC1" w:rsidRDefault="005B4D7C">
            <w:pPr>
              <w:pStyle w:val="TableHeader"/>
            </w:pPr>
            <w:r w:rsidRPr="00BD1CC1">
              <w:t>Brand Name</w:t>
            </w:r>
          </w:p>
        </w:tc>
        <w:tc>
          <w:tcPr>
            <w:tcW w:w="6120"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rsidTr="002B074B">
        <w:trPr>
          <w:cantSplit/>
        </w:trPr>
        <w:tc>
          <w:tcPr>
            <w:tcW w:w="4740" w:type="dxa"/>
          </w:tcPr>
          <w:p w14:paraId="4DED0C9B" w14:textId="57CF801F" w:rsidR="005B4D7C" w:rsidRPr="00BD1CC1" w:rsidRDefault="00231808">
            <w:pPr>
              <w:pStyle w:val="TableDataUnpadded"/>
            </w:pPr>
            <w:r w:rsidRPr="00231808">
              <w:t>Rylaze</w:t>
            </w:r>
          </w:p>
        </w:tc>
        <w:tc>
          <w:tcPr>
            <w:tcW w:w="6120" w:type="dxa"/>
          </w:tcPr>
          <w:p w14:paraId="1A09710D" w14:textId="3145ECE0" w:rsidR="005B4D7C" w:rsidRPr="00BD1CC1" w:rsidRDefault="00231808">
            <w:pPr>
              <w:pStyle w:val="TableDataUnpadded"/>
            </w:pPr>
            <w:r w:rsidRPr="00231808">
              <w:t xml:space="preserve">asparaginase </w:t>
            </w:r>
            <w:proofErr w:type="spellStart"/>
            <w:r w:rsidRPr="00231808">
              <w:t>erwinia</w:t>
            </w:r>
            <w:proofErr w:type="spellEnd"/>
            <w:r w:rsidRPr="00231808">
              <w:t xml:space="preserve"> </w:t>
            </w:r>
            <w:proofErr w:type="spellStart"/>
            <w:r w:rsidRPr="00231808">
              <w:t>chrysanthemi</w:t>
            </w:r>
            <w:proofErr w:type="spellEnd"/>
            <w:r w:rsidRPr="00231808">
              <w:t xml:space="preserve"> (recombinant)-</w:t>
            </w:r>
            <w:proofErr w:type="spellStart"/>
            <w:r w:rsidRPr="00231808">
              <w:t>rywn</w:t>
            </w:r>
            <w:proofErr w:type="spellEnd"/>
          </w:p>
        </w:tc>
      </w:tr>
    </w:tbl>
    <w:p w14:paraId="14CE6108" w14:textId="0CC19B40" w:rsidR="00FC1AAD" w:rsidRDefault="00ED052F" w:rsidP="00AA2A94">
      <w:pPr>
        <w:pStyle w:val="Heading2"/>
        <w:tabs>
          <w:tab w:val="left" w:pos="9540"/>
        </w:tabs>
      </w:pPr>
      <w:r>
        <w:t>Indications</w:t>
      </w:r>
    </w:p>
    <w:p w14:paraId="588FD32C" w14:textId="45207E2E" w:rsidR="00231808" w:rsidRPr="00231808" w:rsidRDefault="00231808" w:rsidP="00231808">
      <w:pPr>
        <w:pStyle w:val="BodyText"/>
      </w:pPr>
      <w:r w:rsidRPr="00231808">
        <w:t>The indications below including FDA-approved indications and compendial uses are considered a covered benefit provided that all the approval criteria are met and the member has no exclusions to the prescribed therapy.</w:t>
      </w:r>
    </w:p>
    <w:p w14:paraId="134B5687" w14:textId="7635E429" w:rsidR="00ED052F" w:rsidRPr="002A70C5" w:rsidRDefault="00ED052F" w:rsidP="00ED052F">
      <w:pPr>
        <w:pStyle w:val="Heading3"/>
        <w:keepNext w:val="0"/>
      </w:pPr>
      <w:r w:rsidRPr="00BD1CC1">
        <w:t>FDA-approved Indications</w:t>
      </w:r>
    </w:p>
    <w:p w14:paraId="266B3ED5" w14:textId="2A7B8E56" w:rsidR="00231808" w:rsidRDefault="00231808" w:rsidP="00231808">
      <w:pPr>
        <w:pStyle w:val="BodyText"/>
      </w:pPr>
      <w:r>
        <w:t>Rylaze is indicated as a component of a multi-agent chemotherapeutic regimen for the treatment of acute lymphoblastic leukemia (ALL) and lymphoblastic lymphoma (LBL) in adult and pediatric patients 1 month or older who have developed hypersensitivity to E. coli-derived asparaginase.</w:t>
      </w:r>
    </w:p>
    <w:p w14:paraId="0B5EC236" w14:textId="7B07D2FB" w:rsidR="0044763A" w:rsidRPr="002A70C5" w:rsidRDefault="009F2EF1" w:rsidP="0044763A">
      <w:pPr>
        <w:pStyle w:val="Heading3"/>
      </w:pPr>
      <w:r>
        <w:t>Compendial Uses</w:t>
      </w:r>
    </w:p>
    <w:p w14:paraId="58A247DE" w14:textId="77777777" w:rsidR="00231808" w:rsidRDefault="00231808" w:rsidP="00231808">
      <w:pPr>
        <w:pStyle w:val="BodyText"/>
      </w:pPr>
      <w:proofErr w:type="spellStart"/>
      <w:r>
        <w:t>Extranodal</w:t>
      </w:r>
      <w:proofErr w:type="spellEnd"/>
      <w:r>
        <w:t xml:space="preserve"> Natural Killer/T-cell lymphoma/ Aggressive NK-cell Leukemia (ANKL)</w:t>
      </w:r>
    </w:p>
    <w:p w14:paraId="3639C344" w14:textId="77777777" w:rsidR="00231808" w:rsidRDefault="00231808" w:rsidP="00231808">
      <w:pPr>
        <w:pStyle w:val="BodyText"/>
      </w:pPr>
      <w:r>
        <w:t>All other indications are considered experimental/investigational and not medically necessary.</w:t>
      </w:r>
    </w:p>
    <w:p w14:paraId="50A38FBA" w14:textId="4E2EBBAB" w:rsidR="00FE0C63" w:rsidRPr="00231808" w:rsidRDefault="00685107" w:rsidP="00305A08">
      <w:pPr>
        <w:pStyle w:val="Heading2"/>
        <w:keepNext w:val="0"/>
      </w:pPr>
      <w:r>
        <w:t>Coverage Criteria</w:t>
      </w:r>
    </w:p>
    <w:p w14:paraId="2ED8C30C" w14:textId="0D9A7F06" w:rsidR="00231808" w:rsidRPr="002A70C5" w:rsidRDefault="00231808" w:rsidP="00231808">
      <w:pPr>
        <w:pStyle w:val="Heading3"/>
      </w:pPr>
      <w:r>
        <w:lastRenderedPageBreak/>
        <w:t>Acute Lymphoblastic Leukemia (ALL) and Lymphoblastic Lymphoma (LBL)</w:t>
      </w:r>
    </w:p>
    <w:p w14:paraId="4CBF71E2" w14:textId="77777777" w:rsidR="00231808" w:rsidRDefault="00231808" w:rsidP="00231808">
      <w:pPr>
        <w:pStyle w:val="BodyText"/>
      </w:pPr>
      <w:r>
        <w:t xml:space="preserve">Authorization of 12 months may be granted for treatment of ALL or LBL in members 1 month or older who have developed hypersensitivity to E. coli-derived asparaginase (e.g., </w:t>
      </w:r>
      <w:proofErr w:type="spellStart"/>
      <w:r>
        <w:t>pegaspargase</w:t>
      </w:r>
      <w:proofErr w:type="spellEnd"/>
      <w:r>
        <w:t>) and the requested medication will be used in conjunction with multi-agent chemotherapy.</w:t>
      </w:r>
    </w:p>
    <w:p w14:paraId="54210B6D" w14:textId="6843D6F6" w:rsidR="00231808" w:rsidRDefault="00231808" w:rsidP="00231808">
      <w:pPr>
        <w:pStyle w:val="Heading3"/>
      </w:pPr>
      <w:proofErr w:type="spellStart"/>
      <w:r>
        <w:t>Extranodal</w:t>
      </w:r>
      <w:proofErr w:type="spellEnd"/>
      <w:r>
        <w:t xml:space="preserve"> Natural Killer/T-cell Lymphoma / Aggressive NK-cell Leukemia (ANKL)</w:t>
      </w:r>
    </w:p>
    <w:p w14:paraId="12C036FB" w14:textId="77777777" w:rsidR="00231808" w:rsidRDefault="00231808" w:rsidP="00231808">
      <w:pPr>
        <w:pStyle w:val="BodyText"/>
      </w:pPr>
      <w:r>
        <w:t>Authorization of 12 months may be granted for treatment of ENKL or ANKL when both of the following criteria are met:</w:t>
      </w:r>
    </w:p>
    <w:p w14:paraId="730A019D" w14:textId="074E3E2D" w:rsidR="00231808" w:rsidRDefault="00231808" w:rsidP="00231808">
      <w:pPr>
        <w:pStyle w:val="ListParagraph"/>
      </w:pPr>
      <w:r>
        <w:t xml:space="preserve">The member has previously received and developed hypersensitivity to an E. coli-derived asparaginase (e.g., </w:t>
      </w:r>
      <w:proofErr w:type="spellStart"/>
      <w:r>
        <w:t>pegaspargase</w:t>
      </w:r>
      <w:proofErr w:type="spellEnd"/>
      <w:r>
        <w:t>).</w:t>
      </w:r>
    </w:p>
    <w:p w14:paraId="71CC3421" w14:textId="61ECDA58" w:rsidR="00231808" w:rsidRDefault="00231808" w:rsidP="00231808">
      <w:pPr>
        <w:pStyle w:val="ListParagraph"/>
      </w:pPr>
      <w:r>
        <w:t>The requested medication will be used in conjunction with multi-agent chemotherapy.</w:t>
      </w:r>
    </w:p>
    <w:p w14:paraId="3A643EC3" w14:textId="71E271F3" w:rsidR="00A501AC" w:rsidRPr="00231808" w:rsidRDefault="00A501AC" w:rsidP="00305A08">
      <w:pPr>
        <w:pStyle w:val="Heading2"/>
        <w:spacing w:before="360"/>
      </w:pPr>
      <w:r w:rsidRPr="00BD1CC1">
        <w:t>Continuation of Therapy</w:t>
      </w:r>
    </w:p>
    <w:p w14:paraId="026B93A0" w14:textId="7790C122" w:rsidR="00231808" w:rsidRDefault="00231808" w:rsidP="00231808">
      <w:pPr>
        <w:rPr>
          <w:rFonts w:cs="Arial"/>
          <w:szCs w:val="22"/>
        </w:rPr>
      </w:pPr>
      <w:r w:rsidRPr="00231808">
        <w:rPr>
          <w:rFonts w:cs="Arial"/>
          <w:szCs w:val="22"/>
        </w:rPr>
        <w:t>Authorization of 12 months may be granted for continued treatment in members requesting reauthorization for an indication listed in the coverage criteria section when there is no evidence of unacceptable toxicity or disease progression while on the current regimen.</w:t>
      </w:r>
      <w:bookmarkStart w:id="0" w:name="S2.2"/>
      <w:bookmarkStart w:id="1" w:name="section-2.2"/>
      <w:bookmarkStart w:id="2" w:name="section-2.2.1"/>
      <w:bookmarkStart w:id="3" w:name="section-2.2.2"/>
      <w:bookmarkEnd w:id="0"/>
      <w:bookmarkEnd w:id="1"/>
      <w:bookmarkEnd w:id="2"/>
      <w:bookmarkEnd w:id="3"/>
    </w:p>
    <w:p w14:paraId="10DA4309" w14:textId="36A2370D" w:rsidR="00FF66BF" w:rsidRPr="008D1B34" w:rsidRDefault="00FF66BF" w:rsidP="00305A08">
      <w:pPr>
        <w:pStyle w:val="Heading2"/>
        <w:spacing w:before="360"/>
      </w:pPr>
      <w:r w:rsidRPr="008D1B34">
        <w:t>References</w:t>
      </w:r>
    </w:p>
    <w:p w14:paraId="6DCD99D6" w14:textId="173A6786" w:rsidR="00231808" w:rsidRPr="00454F57" w:rsidRDefault="00231808" w:rsidP="00454F57">
      <w:pPr>
        <w:pStyle w:val="ReferenceOrdered"/>
      </w:pPr>
      <w:r w:rsidRPr="00454F57">
        <w:t>Rylaze [package insert]. Palo Alto, CA: Jazz Pharmaceuticals, Inc.; April 2024.</w:t>
      </w:r>
    </w:p>
    <w:p w14:paraId="0393945E" w14:textId="77777777" w:rsidR="00231808" w:rsidRPr="00454F57" w:rsidRDefault="00231808" w:rsidP="00454F57">
      <w:pPr>
        <w:pStyle w:val="ReferenceOrdered"/>
      </w:pPr>
      <w:r w:rsidRPr="00454F57">
        <w:t>The NCCN Drugs &amp; Biologics Compendium® ©2024 National Comprehensive Cancer Network, Inc. http://www.nccn.org. Accessed May 28, 2024.</w:t>
      </w:r>
    </w:p>
    <w:p w14:paraId="4FAF83BC" w14:textId="77777777" w:rsidR="00231808" w:rsidRPr="00454F57" w:rsidRDefault="00231808" w:rsidP="00454F57">
      <w:pPr>
        <w:pStyle w:val="ReferenceOrdered"/>
      </w:pPr>
      <w:r w:rsidRPr="00454F57">
        <w:t>National Comprehensive Cancer Network. NCCN Clinical Practice Guidelines in Oncology: T-Cell Lymphomas. Version 4.2024. https:// www.nccn.org/professionals/physician_gls/pdf/t-cell.pdf. Accessed May 28, 2024.</w:t>
      </w:r>
    </w:p>
    <w:p w14:paraId="47E1A10C" w14:textId="16754C61" w:rsidR="00C44990" w:rsidRPr="002A70C5" w:rsidRDefault="00231808" w:rsidP="00365953">
      <w:pPr>
        <w:pStyle w:val="ReferenceOrdered"/>
      </w:pPr>
      <w:r w:rsidRPr="00454F57">
        <w:t>Rylaze. Micromedex® (electronic version). IBM Watson Health, Greenwood Village, Colorado, USA. Available at: https://www.micromedexsolutions.com. Accessed May 28, 2024.</w:t>
      </w:r>
    </w:p>
    <w:sectPr w:rsidR="00C44990" w:rsidRPr="002A70C5"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18A81" w14:textId="77777777" w:rsidR="00EA0A00" w:rsidRDefault="00EA0A00">
      <w:r>
        <w:separator/>
      </w:r>
    </w:p>
  </w:endnote>
  <w:endnote w:type="continuationSeparator" w:id="0">
    <w:p w14:paraId="21FCD1B2" w14:textId="77777777" w:rsidR="00EA0A00" w:rsidRDefault="00EA0A00">
      <w:r>
        <w:continuationSeparator/>
      </w:r>
    </w:p>
  </w:endnote>
  <w:endnote w:type="continuationNotice" w:id="1">
    <w:p w14:paraId="19F39BA2" w14:textId="77777777" w:rsidR="00EA0A00" w:rsidRDefault="00EA0A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02E40D02"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A70C5" w:rsidRPr="002A70C5">
      <w:rPr>
        <w:rFonts w:cs="Arial"/>
        <w:noProof/>
        <w:sz w:val="16"/>
        <w:szCs w:val="16"/>
      </w:rPr>
      <w:t>Rylaze</w:t>
    </w:r>
    <w:r w:rsidR="002A70C5">
      <w:rPr>
        <w:rFonts w:cs="Arial"/>
        <w:noProof/>
        <w:snapToGrid w:val="0"/>
        <w:color w:val="000000"/>
        <w:sz w:val="16"/>
        <w:szCs w:val="16"/>
      </w:rPr>
      <w:t xml:space="preserve"> SGM 4812-A</w:t>
    </w:r>
    <w:r w:rsidR="002A70C5" w:rsidRPr="002A70C5">
      <w:rPr>
        <w:rFonts w:cs="Arial"/>
        <w:noProof/>
        <w:sz w:val="16"/>
        <w:szCs w:val="16"/>
      </w:rPr>
      <w:t xml:space="preserve"> </w:t>
    </w:r>
    <w:r w:rsidR="00555988">
      <w:rPr>
        <w:rFonts w:cs="Arial"/>
        <w:noProof/>
        <w:sz w:val="16"/>
        <w:szCs w:val="16"/>
      </w:rPr>
      <w:t>P</w:t>
    </w:r>
    <w:r w:rsidR="002A70C5" w:rsidRPr="002A70C5">
      <w:rPr>
        <w:rFonts w:cs="Arial"/>
        <w:noProof/>
        <w:sz w:val="16"/>
        <w:szCs w:val="16"/>
      </w:rPr>
      <w:t>2024</w:t>
    </w:r>
    <w:r w:rsidR="002A70C5">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750773C7"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96B50CD" w:rsidR="00F75C81" w:rsidRPr="002A70C5" w:rsidRDefault="00C36B72" w:rsidP="002A70C5">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5F076A7"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B72433">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2A70C5" w:rsidRPr="002A70C5">
      <w:rPr>
        <w:rFonts w:cs="Arial"/>
        <w:noProof/>
        <w:sz w:val="16"/>
        <w:szCs w:val="16"/>
        <w:lang w:val="pt-PT"/>
      </w:rPr>
      <w:t>Rylaze</w:t>
    </w:r>
    <w:r w:rsidR="002A70C5">
      <w:rPr>
        <w:rFonts w:cs="Arial"/>
        <w:noProof/>
        <w:snapToGrid w:val="0"/>
        <w:color w:val="000000"/>
        <w:sz w:val="16"/>
        <w:szCs w:val="16"/>
        <w:lang w:val="pt-PT"/>
      </w:rPr>
      <w:t xml:space="preserve"> SGM 4812-A</w:t>
    </w:r>
    <w:r w:rsidR="002A70C5" w:rsidRPr="002A70C5">
      <w:rPr>
        <w:rFonts w:cs="Arial"/>
        <w:noProof/>
        <w:sz w:val="16"/>
        <w:szCs w:val="16"/>
        <w:lang w:val="pt-PT"/>
      </w:rPr>
      <w:t xml:space="preserve"> </w:t>
    </w:r>
    <w:r w:rsidR="00555988">
      <w:rPr>
        <w:rFonts w:cs="Arial"/>
        <w:noProof/>
        <w:sz w:val="16"/>
        <w:szCs w:val="16"/>
        <w:lang w:val="pt-PT"/>
      </w:rPr>
      <w:t>P</w:t>
    </w:r>
    <w:r w:rsidR="002A70C5" w:rsidRPr="002A70C5">
      <w:rPr>
        <w:rFonts w:cs="Arial"/>
        <w:noProof/>
        <w:sz w:val="16"/>
        <w:szCs w:val="16"/>
        <w:lang w:val="pt-PT"/>
      </w:rPr>
      <w:t>2024</w:t>
    </w:r>
    <w:r w:rsidR="002A70C5">
      <w:rPr>
        <w:rFonts w:cs="Arial"/>
        <w:noProof/>
        <w:snapToGrid w:val="0"/>
        <w:color w:val="000000"/>
        <w:sz w:val="16"/>
        <w:szCs w:val="16"/>
        <w:lang w:val="pt-PT"/>
      </w:rPr>
      <w:t>_R.docx</w:t>
    </w:r>
    <w:r w:rsidRPr="00EC47B6">
      <w:rPr>
        <w:rFonts w:cs="Arial"/>
        <w:noProof/>
        <w:sz w:val="16"/>
        <w:szCs w:val="16"/>
      </w:rPr>
      <w:fldChar w:fldCharType="end"/>
    </w:r>
    <w:r w:rsidRPr="00B72433">
      <w:rPr>
        <w:rFonts w:cs="Arial"/>
        <w:snapToGrid w:val="0"/>
        <w:color w:val="000000"/>
        <w:sz w:val="16"/>
        <w:lang w:val="pt-PT"/>
      </w:rPr>
      <w:tab/>
      <w:t>© 202</w:t>
    </w:r>
    <w:r w:rsidR="00D74279" w:rsidRPr="00B72433">
      <w:rPr>
        <w:rFonts w:cs="Arial"/>
        <w:snapToGrid w:val="0"/>
        <w:color w:val="000000"/>
        <w:sz w:val="16"/>
        <w:lang w:val="pt-PT"/>
      </w:rPr>
      <w:t>4</w:t>
    </w:r>
    <w:r w:rsidRPr="00B72433">
      <w:rPr>
        <w:rFonts w:cs="Arial"/>
        <w:snapToGrid w:val="0"/>
        <w:color w:val="000000"/>
        <w:sz w:val="16"/>
        <w:lang w:val="pt-PT"/>
      </w:rPr>
      <w:t xml:space="preserve"> CVS Caremark. </w:t>
    </w:r>
    <w:r w:rsidRPr="00EC47B6">
      <w:rPr>
        <w:rFonts w:cs="Arial"/>
        <w:snapToGrid w:val="0"/>
        <w:color w:val="000000"/>
        <w:sz w:val="16"/>
      </w:rPr>
      <w:t>All rights reserved.</w:t>
    </w:r>
  </w:p>
  <w:p w14:paraId="39BFE579" w14:textId="4332A22F"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761949D7" w:rsidR="00ED04EC" w:rsidRPr="002A70C5" w:rsidRDefault="00F50D98" w:rsidP="002A70C5">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68819" w14:textId="77777777" w:rsidR="00EA0A00" w:rsidRDefault="00EA0A00">
      <w:r>
        <w:separator/>
      </w:r>
    </w:p>
  </w:footnote>
  <w:footnote w:type="continuationSeparator" w:id="0">
    <w:p w14:paraId="7B33B103" w14:textId="77777777" w:rsidR="00EA0A00" w:rsidRDefault="00EA0A00">
      <w:r>
        <w:continuationSeparator/>
      </w:r>
    </w:p>
  </w:footnote>
  <w:footnote w:type="continuationNotice" w:id="1">
    <w:p w14:paraId="60D73FDC" w14:textId="77777777" w:rsidR="00EA0A00" w:rsidRDefault="00EA0A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B72433" w:rsidRDefault="00ED04EC" w:rsidP="00ED04EC">
          <w:pPr>
            <w:pStyle w:val="Header"/>
            <w:rPr>
              <w:rFonts w:cs="Arial"/>
              <w:sz w:val="16"/>
              <w:szCs w:val="16"/>
            </w:rPr>
          </w:pPr>
          <w:r w:rsidRPr="00B72433">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5234FB4E" w:rsidR="00ED04EC" w:rsidRPr="00B72433" w:rsidRDefault="00231808" w:rsidP="00ED04EC">
          <w:pPr>
            <w:pStyle w:val="Header"/>
            <w:rPr>
              <w:rFonts w:cs="Arial"/>
              <w:sz w:val="16"/>
              <w:szCs w:val="16"/>
            </w:rPr>
          </w:pPr>
          <w:r w:rsidRPr="00B72433">
            <w:rPr>
              <w:rFonts w:cs="Arial"/>
              <w:sz w:val="16"/>
              <w:szCs w:val="16"/>
            </w:rPr>
            <w:t>4812-A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3"/>
  </w:num>
  <w:num w:numId="3" w16cid:durableId="611589570">
    <w:abstractNumId w:val="1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5"/>
  </w:num>
  <w:num w:numId="18" w16cid:durableId="299724409">
    <w:abstractNumId w:val="20"/>
  </w:num>
  <w:num w:numId="19" w16cid:durableId="214585573">
    <w:abstractNumId w:val="13"/>
  </w:num>
  <w:num w:numId="20" w16cid:durableId="1289816170">
    <w:abstractNumId w:val="14"/>
  </w:num>
  <w:num w:numId="21" w16cid:durableId="1066490929">
    <w:abstractNumId w:val="26"/>
  </w:num>
  <w:num w:numId="22" w16cid:durableId="1472481103">
    <w:abstractNumId w:val="22"/>
  </w:num>
  <w:num w:numId="23" w16cid:durableId="1997420403">
    <w:abstractNumId w:val="24"/>
  </w:num>
  <w:num w:numId="24" w16cid:durableId="33312838">
    <w:abstractNumId w:val="21"/>
  </w:num>
  <w:num w:numId="25" w16cid:durableId="507404939">
    <w:abstractNumId w:val="15"/>
  </w:num>
  <w:num w:numId="26" w16cid:durableId="1950313333">
    <w:abstractNumId w:val="18"/>
  </w:num>
  <w:num w:numId="27" w16cid:durableId="1866016584">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111"/>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5AF4"/>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AC3"/>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2D8"/>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1808"/>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C5"/>
    <w:rsid w:val="002A70D8"/>
    <w:rsid w:val="002B0460"/>
    <w:rsid w:val="002B06CF"/>
    <w:rsid w:val="002B074B"/>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08"/>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377E4"/>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270D"/>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4F57"/>
    <w:rsid w:val="00455C55"/>
    <w:rsid w:val="00456003"/>
    <w:rsid w:val="00456A47"/>
    <w:rsid w:val="0045790D"/>
    <w:rsid w:val="00457BC4"/>
    <w:rsid w:val="00460001"/>
    <w:rsid w:val="0046058E"/>
    <w:rsid w:val="00460F4A"/>
    <w:rsid w:val="00460F61"/>
    <w:rsid w:val="0046197A"/>
    <w:rsid w:val="00461A9E"/>
    <w:rsid w:val="00462FA2"/>
    <w:rsid w:val="004631E1"/>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5988"/>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1F44"/>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9AD"/>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4C90"/>
    <w:rsid w:val="00A7520F"/>
    <w:rsid w:val="00A75835"/>
    <w:rsid w:val="00A75DAC"/>
    <w:rsid w:val="00A76771"/>
    <w:rsid w:val="00A778F3"/>
    <w:rsid w:val="00A80B85"/>
    <w:rsid w:val="00A80C6E"/>
    <w:rsid w:val="00A80EB5"/>
    <w:rsid w:val="00A8151A"/>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433"/>
    <w:rsid w:val="00B725FA"/>
    <w:rsid w:val="00B72DFD"/>
    <w:rsid w:val="00B73BA9"/>
    <w:rsid w:val="00B73FA7"/>
    <w:rsid w:val="00B74318"/>
    <w:rsid w:val="00B76A92"/>
    <w:rsid w:val="00B76BCF"/>
    <w:rsid w:val="00B76C81"/>
    <w:rsid w:val="00B77608"/>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194C"/>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1964"/>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0B0"/>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6F90"/>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BCB"/>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0A00"/>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69DA"/>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C519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0839FCC2-BB85-4D76-A0B6-798B037EC1D3}"/>
</file>

<file path=docProps/app.xml><?xml version="1.0" encoding="utf-8"?>
<Properties xmlns="http://schemas.openxmlformats.org/officeDocument/2006/extended-properties" xmlns:vt="http://schemas.openxmlformats.org/officeDocument/2006/docPropsVTypes">
  <Template>Normal.dotm</Template>
  <TotalTime>3</TotalTime>
  <Pages>2</Pages>
  <Words>367</Words>
  <Characters>2420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Rylaze 4812-A SGM 2024</vt:lpstr>
    </vt:vector>
  </TitlesOfParts>
  <Company>PCS Health Systems</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Rylaze 4812-A SGM 2024</dc:title>
  <dc:subject/>
  <dc:creator>CVS Caremark</dc:creator>
  <cp:keywords/>
  <cp:lastModifiedBy>Huerta, Linda M</cp:lastModifiedBy>
  <cp:revision>4</cp:revision>
  <cp:lastPrinted>2018-01-09T11:01:00Z</cp:lastPrinted>
  <dcterms:created xsi:type="dcterms:W3CDTF">2024-10-28T18:50:00Z</dcterms:created>
  <dcterms:modified xsi:type="dcterms:W3CDTF">2024-11-14T04:06:00Z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1586400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